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228"/>
        <w:gridCol w:w="229"/>
        <w:gridCol w:w="8615"/>
      </w:tblGrid>
      <w:tr w:rsidR="00A14062" w:rsidTr="00A14062">
        <w:trPr>
          <w:tblCellSpacing w:w="0" w:type="dxa"/>
        </w:trPr>
        <w:tc>
          <w:tcPr>
            <w:tcW w:w="228" w:type="dxa"/>
            <w:shd w:val="clear" w:color="auto" w:fill="FFFFFF"/>
            <w:vAlign w:val="bottom"/>
            <w:hideMark/>
          </w:tcPr>
          <w:p w:rsidR="00A14062" w:rsidRDefault="00A14062">
            <w:pPr>
              <w:rPr>
                <w:rFonts w:asciiTheme="minorHAnsi" w:eastAsiaTheme="minorEastAsia" w:hAnsiTheme="minorHAnsi" w:cstheme="minorBidi"/>
              </w:rPr>
            </w:pPr>
          </w:p>
        </w:tc>
        <w:tc>
          <w:tcPr>
            <w:tcW w:w="229" w:type="dxa"/>
            <w:shd w:val="clear" w:color="auto" w:fill="FFFFFF"/>
            <w:hideMark/>
          </w:tcPr>
          <w:p w:rsidR="00A14062" w:rsidRDefault="00A14062">
            <w:pPr>
              <w:rPr>
                <w:rFonts w:asciiTheme="minorHAnsi" w:eastAsiaTheme="minorEastAsia" w:hAnsiTheme="minorHAnsi" w:cstheme="minorBidi"/>
              </w:rPr>
            </w:pPr>
          </w:p>
        </w:tc>
        <w:tc>
          <w:tcPr>
            <w:tcW w:w="8615" w:type="dxa"/>
            <w:shd w:val="clear" w:color="auto" w:fill="FFFFFF"/>
            <w:hideMark/>
          </w:tcPr>
          <w:p w:rsidR="00A14062" w:rsidRDefault="00312740">
            <w:pPr>
              <w:jc w:val="right"/>
              <w:rPr>
                <w:rFonts w:ascii="Arial" w:hAnsi="Arial" w:cs="Arial"/>
                <w:sz w:val="20"/>
                <w:szCs w:val="20"/>
              </w:rPr>
            </w:pPr>
            <w:r>
              <w:rPr>
                <w:noProof/>
              </w:rPr>
              <w:drawing>
                <wp:inline distT="0" distB="0" distL="0" distR="0" wp14:anchorId="58E9261E" wp14:editId="036825C4">
                  <wp:extent cx="1908810" cy="468630"/>
                  <wp:effectExtent l="0" t="0" r="0" b="762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08810" cy="468630"/>
                          </a:xfrm>
                          <a:prstGeom prst="rect">
                            <a:avLst/>
                          </a:prstGeom>
                          <a:noFill/>
                          <a:ln w="9525">
                            <a:noFill/>
                            <a:miter lim="800000"/>
                            <a:headEnd/>
                            <a:tailEnd/>
                          </a:ln>
                        </pic:spPr>
                      </pic:pic>
                    </a:graphicData>
                  </a:graphic>
                </wp:inline>
              </w:drawing>
            </w:r>
          </w:p>
        </w:tc>
      </w:tr>
      <w:tr w:rsidR="00A14062" w:rsidTr="00A14062">
        <w:trPr>
          <w:tblCellSpacing w:w="0" w:type="dxa"/>
        </w:trPr>
        <w:tc>
          <w:tcPr>
            <w:tcW w:w="228" w:type="dxa"/>
            <w:shd w:val="clear" w:color="auto" w:fill="FFFFFF"/>
            <w:vAlign w:val="bottom"/>
            <w:hideMark/>
          </w:tcPr>
          <w:p w:rsidR="00A14062" w:rsidRDefault="00A14062">
            <w:pPr>
              <w:jc w:val="right"/>
              <w:rPr>
                <w:rFonts w:ascii="Arial" w:hAnsi="Arial" w:cs="Arial"/>
                <w:sz w:val="14"/>
                <w:szCs w:val="14"/>
              </w:rPr>
            </w:pPr>
          </w:p>
        </w:tc>
        <w:tc>
          <w:tcPr>
            <w:tcW w:w="229" w:type="dxa"/>
            <w:shd w:val="clear" w:color="auto" w:fill="FFFFFF"/>
            <w:hideMark/>
          </w:tcPr>
          <w:p w:rsidR="00A14062" w:rsidRDefault="00A14062">
            <w:pPr>
              <w:rPr>
                <w:rFonts w:asciiTheme="minorHAnsi" w:eastAsiaTheme="minorEastAsia" w:hAnsiTheme="minorHAnsi" w:cstheme="minorBidi"/>
              </w:rPr>
            </w:pPr>
          </w:p>
        </w:tc>
        <w:tc>
          <w:tcPr>
            <w:tcW w:w="8615" w:type="dxa"/>
            <w:shd w:val="clear" w:color="auto" w:fill="FFFFFF"/>
            <w:hideMark/>
          </w:tcPr>
          <w:p w:rsidR="00A14062" w:rsidRDefault="00A14062">
            <w:pPr>
              <w:rPr>
                <w:rFonts w:asciiTheme="minorHAnsi" w:eastAsiaTheme="minorEastAsia" w:hAnsiTheme="minorHAnsi" w:cstheme="minorBidi"/>
              </w:rPr>
            </w:pPr>
          </w:p>
        </w:tc>
      </w:tr>
    </w:tbl>
    <w:p w:rsidR="007209CD" w:rsidRPr="007209CD" w:rsidRDefault="00187214" w:rsidP="007209CD">
      <w:pPr>
        <w:rPr>
          <w:sz w:val="24"/>
        </w:rPr>
      </w:pPr>
      <w:r>
        <w:rPr>
          <w:b/>
          <w:sz w:val="24"/>
          <w:u w:val="single"/>
        </w:rPr>
        <w:t>INFO</w:t>
      </w:r>
    </w:p>
    <w:p w:rsidR="00A14062" w:rsidRDefault="00A14062"/>
    <w:p w:rsidR="00A14062" w:rsidRDefault="00A14062" w:rsidP="002074B5">
      <w:pPr>
        <w:jc w:val="both"/>
      </w:pPr>
      <w:r>
        <w:t xml:space="preserve">Betreft: </w:t>
      </w:r>
      <w:r w:rsidR="0088741D">
        <w:t xml:space="preserve">Werken </w:t>
      </w:r>
      <w:proofErr w:type="spellStart"/>
      <w:r w:rsidR="00A16C76">
        <w:t>Hilarion</w:t>
      </w:r>
      <w:proofErr w:type="spellEnd"/>
      <w:r w:rsidR="00A16C76">
        <w:t xml:space="preserve"> </w:t>
      </w:r>
      <w:proofErr w:type="spellStart"/>
      <w:r w:rsidR="00A16C76">
        <w:t>Thanslaan</w:t>
      </w:r>
      <w:proofErr w:type="spellEnd"/>
      <w:r w:rsidR="0088741D">
        <w:t xml:space="preserve"> </w:t>
      </w:r>
    </w:p>
    <w:p w:rsidR="00E639C8" w:rsidRDefault="00E639C8" w:rsidP="002074B5">
      <w:pPr>
        <w:jc w:val="both"/>
      </w:pPr>
    </w:p>
    <w:p w:rsidR="00172EAC" w:rsidRDefault="00A16C76" w:rsidP="00F2085D">
      <w:pPr>
        <w:jc w:val="both"/>
      </w:pPr>
      <w:r>
        <w:t>Zoals jullie wellicht hebben</w:t>
      </w:r>
      <w:r w:rsidR="00835D82">
        <w:t xml:space="preserve"> gezien,</w:t>
      </w:r>
      <w:r>
        <w:t xml:space="preserve"> zijn we ondertussen gestart met de voorbereidende werken in de </w:t>
      </w:r>
      <w:proofErr w:type="spellStart"/>
      <w:r>
        <w:t>Hilarion</w:t>
      </w:r>
      <w:proofErr w:type="spellEnd"/>
      <w:r>
        <w:t xml:space="preserve"> </w:t>
      </w:r>
      <w:proofErr w:type="spellStart"/>
      <w:r>
        <w:t>Thanslaan</w:t>
      </w:r>
      <w:proofErr w:type="spellEnd"/>
      <w:r>
        <w:t xml:space="preserve">. Om technische redenen zal de uitvoering van zowel het pompstation als de </w:t>
      </w:r>
      <w:r w:rsidR="002B1A6E">
        <w:t>een gedeelte van de riolering op</w:t>
      </w:r>
      <w:bookmarkStart w:id="0" w:name="_GoBack"/>
      <w:bookmarkEnd w:id="0"/>
      <w:r>
        <w:t xml:space="preserve"> een andere wijze worden uitgevoerd. Bovendien komt het pompstation nu op een andere locatie, namelijk in de rijweg tussen woning nr. 24 en nr.30. </w:t>
      </w:r>
      <w:r w:rsidR="00835D82">
        <w:t xml:space="preserve"> </w:t>
      </w:r>
      <w:r>
        <w:t xml:space="preserve">In principe zal de invloed van deze aanpassing </w:t>
      </w:r>
      <w:r w:rsidR="000206F0">
        <w:t>nihil</w:t>
      </w:r>
      <w:r>
        <w:t xml:space="preserve"> zijn, gezien deze constructie ondergronds wordt geplaatst. Het enige wat zichtbaar zal zijn is een elektriciteits-/sturingskast.</w:t>
      </w:r>
    </w:p>
    <w:p w:rsidR="000206F0" w:rsidRDefault="000206F0" w:rsidP="00F2085D">
      <w:pPr>
        <w:jc w:val="both"/>
      </w:pPr>
    </w:p>
    <w:p w:rsidR="000206F0" w:rsidRDefault="000206F0" w:rsidP="00F2085D">
      <w:pPr>
        <w:jc w:val="both"/>
      </w:pPr>
      <w:r>
        <w:t xml:space="preserve">Gezien de gewijzigde uitvoering, zal de hinder naar omwonende in de eerste fase van de werken in de </w:t>
      </w:r>
      <w:proofErr w:type="spellStart"/>
      <w:r>
        <w:t>Hilarion</w:t>
      </w:r>
      <w:proofErr w:type="spellEnd"/>
      <w:r>
        <w:t xml:space="preserve"> </w:t>
      </w:r>
      <w:proofErr w:type="spellStart"/>
      <w:r>
        <w:t>Thanslaan</w:t>
      </w:r>
      <w:proofErr w:type="spellEnd"/>
      <w:r>
        <w:t xml:space="preserve"> </w:t>
      </w:r>
      <w:r w:rsidR="00826CB3">
        <w:t xml:space="preserve">eerder </w:t>
      </w:r>
      <w:r>
        <w:t>beperkt zijn. Er zal in eerste instantie voornamelijk  enkel op 3 locaties gewerkt worden(Zie onderstaand plan).</w:t>
      </w:r>
    </w:p>
    <w:p w:rsidR="000206F0" w:rsidRDefault="000206F0" w:rsidP="00F2085D">
      <w:pPr>
        <w:jc w:val="both"/>
      </w:pPr>
    </w:p>
    <w:p w:rsidR="000206F0" w:rsidRDefault="00826CB3" w:rsidP="00E33EF3">
      <w:pPr>
        <w:jc w:val="center"/>
      </w:pPr>
      <w:r>
        <w:rPr>
          <w:noProof/>
        </w:rPr>
        <w:drawing>
          <wp:inline distT="0" distB="0" distL="0" distR="0">
            <wp:extent cx="2057400" cy="239817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ts.jpg"/>
                    <pic:cNvPicPr/>
                  </pic:nvPicPr>
                  <pic:blipFill>
                    <a:blip r:embed="rId6">
                      <a:extLst>
                        <a:ext uri="{28A0092B-C50C-407E-A947-70E740481C1C}">
                          <a14:useLocalDpi xmlns:a14="http://schemas.microsoft.com/office/drawing/2010/main" val="0"/>
                        </a:ext>
                      </a:extLst>
                    </a:blip>
                    <a:stretch>
                      <a:fillRect/>
                    </a:stretch>
                  </pic:blipFill>
                  <pic:spPr>
                    <a:xfrm>
                      <a:off x="0" y="0"/>
                      <a:ext cx="2137071" cy="2491038"/>
                    </a:xfrm>
                    <a:prstGeom prst="rect">
                      <a:avLst/>
                    </a:prstGeom>
                  </pic:spPr>
                </pic:pic>
              </a:graphicData>
            </a:graphic>
          </wp:inline>
        </w:drawing>
      </w:r>
    </w:p>
    <w:p w:rsidR="00826CB3" w:rsidRDefault="00826CB3" w:rsidP="00F2085D">
      <w:pPr>
        <w:jc w:val="both"/>
      </w:pPr>
    </w:p>
    <w:p w:rsidR="001F4134" w:rsidRDefault="00826CB3" w:rsidP="00F2085D">
      <w:pPr>
        <w:jc w:val="both"/>
      </w:pPr>
      <w:r>
        <w:t xml:space="preserve">De verharding zal in eerste instantie enkel op deze locaties worden opgebroken, doorgaand verkeer zal niet mogelijk zijn op locaties 2 en 3. De woningen blijven grotendeels bereikbaar, echter daar waar de woning kort bij de werkzone ligt zal het niet iedere dag mogelijk zijn om uw inrit te benutten.  De volgorde van de werken is ook volgens het plan, namelijk eerst </w:t>
      </w:r>
      <w:proofErr w:type="spellStart"/>
      <w:r>
        <w:t>persput</w:t>
      </w:r>
      <w:proofErr w:type="spellEnd"/>
      <w:r>
        <w:t xml:space="preserve"> vervolgens pompstation en aansluitend pu</w:t>
      </w:r>
      <w:r w:rsidR="00010730">
        <w:t>t toekomstig project. Als de putten geplaatst zijn</w:t>
      </w:r>
      <w:r w:rsidR="001F4134">
        <w:t>,</w:t>
      </w:r>
      <w:r w:rsidR="00010730">
        <w:t xml:space="preserve"> wordt er vanuit de </w:t>
      </w:r>
      <w:proofErr w:type="spellStart"/>
      <w:r w:rsidR="00010730">
        <w:t>persput</w:t>
      </w:r>
      <w:proofErr w:type="spellEnd"/>
      <w:r w:rsidR="00010730">
        <w:t xml:space="preserve"> de riolering aangelegd </w:t>
      </w:r>
      <w:proofErr w:type="spellStart"/>
      <w:r w:rsidR="00010730">
        <w:t>dmv</w:t>
      </w:r>
      <w:proofErr w:type="spellEnd"/>
      <w:r w:rsidR="00010730">
        <w:t xml:space="preserve"> een doorpersing. Dit betekent dat de rioleringsbuizen onder de straat worden geboord. Qua timing zal deze eerste fase van juni t/m half september duren.</w:t>
      </w:r>
    </w:p>
    <w:p w:rsidR="00010730" w:rsidRDefault="00010730" w:rsidP="00F2085D">
      <w:pPr>
        <w:jc w:val="both"/>
      </w:pPr>
      <w:r>
        <w:t xml:space="preserve">Nadien zullen de werken in het voorziene gedeelte van de </w:t>
      </w:r>
      <w:proofErr w:type="spellStart"/>
      <w:r>
        <w:t>Hilarion</w:t>
      </w:r>
      <w:proofErr w:type="spellEnd"/>
      <w:r>
        <w:t xml:space="preserve"> </w:t>
      </w:r>
      <w:proofErr w:type="spellStart"/>
      <w:r>
        <w:t>Thanslaan</w:t>
      </w:r>
      <w:proofErr w:type="spellEnd"/>
      <w:r>
        <w:t>, namelijk vanaf Populierenlaan tot aan de Kapel, worden uitgevoerd. Hier</w:t>
      </w:r>
      <w:r w:rsidR="001F4134">
        <w:t xml:space="preserve">bij wordt zowel de riolering, als de rijweg volledig vernieuwd. </w:t>
      </w:r>
    </w:p>
    <w:p w:rsidR="00010730" w:rsidRDefault="00010730" w:rsidP="00F2085D">
      <w:pPr>
        <w:jc w:val="both"/>
      </w:pPr>
    </w:p>
    <w:p w:rsidR="0064000E" w:rsidRDefault="00651645" w:rsidP="00F2085D">
      <w:pPr>
        <w:jc w:val="both"/>
      </w:pPr>
      <w:r>
        <w:t>We danken u alvast voor uw begrip en hopen u hiermee voldoende geïnformeerd te hebben. Hebben jullie toch nog vragen, aarzel dan niet om deze te stellen</w:t>
      </w:r>
      <w:r w:rsidR="001F4134">
        <w:t>!</w:t>
      </w:r>
    </w:p>
    <w:p w:rsidR="00E37999" w:rsidRDefault="00E37999" w:rsidP="002074B5">
      <w:pPr>
        <w:jc w:val="both"/>
      </w:pPr>
    </w:p>
    <w:p w:rsidR="00E37999" w:rsidRDefault="00E37999" w:rsidP="002074B5">
      <w:pPr>
        <w:jc w:val="both"/>
      </w:pPr>
      <w:r>
        <w:t>Met vriendelijke groeten,</w:t>
      </w:r>
    </w:p>
    <w:p w:rsidR="00E37999" w:rsidRDefault="00E37999" w:rsidP="002074B5">
      <w:pPr>
        <w:jc w:val="both"/>
      </w:pPr>
      <w:r>
        <w:t>Vanthoor Tim</w:t>
      </w:r>
    </w:p>
    <w:p w:rsidR="00E639C8" w:rsidRDefault="00E37999" w:rsidP="00FD5D7B">
      <w:pPr>
        <w:jc w:val="both"/>
      </w:pPr>
      <w:r>
        <w:t xml:space="preserve">Werfleider </w:t>
      </w:r>
      <w:r w:rsidR="00A36C6F">
        <w:t>BESIX Infra</w:t>
      </w:r>
    </w:p>
    <w:p w:rsidR="00831686" w:rsidRDefault="00831686" w:rsidP="00FD5D7B">
      <w:pPr>
        <w:jc w:val="both"/>
      </w:pPr>
      <w:r>
        <w:t>0497/520708</w:t>
      </w:r>
    </w:p>
    <w:sectPr w:rsidR="00831686" w:rsidSect="00D72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29BA"/>
    <w:multiLevelType w:val="hybridMultilevel"/>
    <w:tmpl w:val="02B2DC22"/>
    <w:lvl w:ilvl="0" w:tplc="08130001">
      <w:start w:val="1"/>
      <w:numFmt w:val="bullet"/>
      <w:lvlText w:val=""/>
      <w:lvlJc w:val="left"/>
      <w:pPr>
        <w:ind w:left="815" w:hanging="360"/>
      </w:pPr>
      <w:rPr>
        <w:rFonts w:ascii="Symbol" w:hAnsi="Symbo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1" w15:restartNumberingAfterBreak="0">
    <w:nsid w:val="43264039"/>
    <w:multiLevelType w:val="hybridMultilevel"/>
    <w:tmpl w:val="2362D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62"/>
    <w:rsid w:val="00010730"/>
    <w:rsid w:val="000206F0"/>
    <w:rsid w:val="00035EC4"/>
    <w:rsid w:val="00072EE3"/>
    <w:rsid w:val="00073E65"/>
    <w:rsid w:val="00091C51"/>
    <w:rsid w:val="000C5EF9"/>
    <w:rsid w:val="000D7764"/>
    <w:rsid w:val="00172EAC"/>
    <w:rsid w:val="00187214"/>
    <w:rsid w:val="00190677"/>
    <w:rsid w:val="001E305A"/>
    <w:rsid w:val="001F4134"/>
    <w:rsid w:val="00203FDF"/>
    <w:rsid w:val="002074B5"/>
    <w:rsid w:val="0022550F"/>
    <w:rsid w:val="00292D3E"/>
    <w:rsid w:val="002A7706"/>
    <w:rsid w:val="002B1A6E"/>
    <w:rsid w:val="00312740"/>
    <w:rsid w:val="00394436"/>
    <w:rsid w:val="003C7306"/>
    <w:rsid w:val="00443B3E"/>
    <w:rsid w:val="00476566"/>
    <w:rsid w:val="004D3AF7"/>
    <w:rsid w:val="005309F1"/>
    <w:rsid w:val="005600B5"/>
    <w:rsid w:val="00584731"/>
    <w:rsid w:val="005D3933"/>
    <w:rsid w:val="0061696C"/>
    <w:rsid w:val="0064000E"/>
    <w:rsid w:val="00651645"/>
    <w:rsid w:val="006E287A"/>
    <w:rsid w:val="007209CD"/>
    <w:rsid w:val="007478BB"/>
    <w:rsid w:val="00750BC9"/>
    <w:rsid w:val="007C65A3"/>
    <w:rsid w:val="007D2ED8"/>
    <w:rsid w:val="007F755E"/>
    <w:rsid w:val="00826CB3"/>
    <w:rsid w:val="00831686"/>
    <w:rsid w:val="00835D82"/>
    <w:rsid w:val="0085039D"/>
    <w:rsid w:val="0087764A"/>
    <w:rsid w:val="0088741D"/>
    <w:rsid w:val="008C453F"/>
    <w:rsid w:val="00905636"/>
    <w:rsid w:val="00975757"/>
    <w:rsid w:val="00A14062"/>
    <w:rsid w:val="00A16C76"/>
    <w:rsid w:val="00A36C6F"/>
    <w:rsid w:val="00A940A0"/>
    <w:rsid w:val="00B06172"/>
    <w:rsid w:val="00B76AED"/>
    <w:rsid w:val="00BC2FA8"/>
    <w:rsid w:val="00CA401B"/>
    <w:rsid w:val="00CE1C54"/>
    <w:rsid w:val="00D142F6"/>
    <w:rsid w:val="00D4221E"/>
    <w:rsid w:val="00D42E43"/>
    <w:rsid w:val="00D72797"/>
    <w:rsid w:val="00D91713"/>
    <w:rsid w:val="00D91C03"/>
    <w:rsid w:val="00DA4292"/>
    <w:rsid w:val="00DA7CD4"/>
    <w:rsid w:val="00E138C6"/>
    <w:rsid w:val="00E33EF3"/>
    <w:rsid w:val="00E37999"/>
    <w:rsid w:val="00E639C8"/>
    <w:rsid w:val="00EA25B6"/>
    <w:rsid w:val="00EC7EDA"/>
    <w:rsid w:val="00ED1430"/>
    <w:rsid w:val="00EF3D2E"/>
    <w:rsid w:val="00F04967"/>
    <w:rsid w:val="00F05DBC"/>
    <w:rsid w:val="00F2085D"/>
    <w:rsid w:val="00FD5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D659"/>
  <w15:docId w15:val="{06543B39-10B5-434F-A0A0-861D40E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4062"/>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14062"/>
    <w:rPr>
      <w:color w:val="0000FF"/>
      <w:u w:val="single"/>
    </w:rPr>
  </w:style>
  <w:style w:type="paragraph" w:styleId="Normaalweb">
    <w:name w:val="Normal (Web)"/>
    <w:basedOn w:val="Standaard"/>
    <w:uiPriority w:val="99"/>
    <w:unhideWhenUsed/>
    <w:rsid w:val="00A14062"/>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A14062"/>
    <w:rPr>
      <w:b/>
      <w:bCs/>
    </w:rPr>
  </w:style>
  <w:style w:type="paragraph" w:styleId="Ballontekst">
    <w:name w:val="Balloon Text"/>
    <w:basedOn w:val="Standaard"/>
    <w:link w:val="BallontekstChar"/>
    <w:uiPriority w:val="99"/>
    <w:semiHidden/>
    <w:unhideWhenUsed/>
    <w:rsid w:val="00A14062"/>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062"/>
    <w:rPr>
      <w:rFonts w:ascii="Tahoma" w:hAnsi="Tahoma" w:cs="Tahoma"/>
      <w:sz w:val="16"/>
      <w:szCs w:val="16"/>
      <w:lang w:eastAsia="nl-BE"/>
    </w:rPr>
  </w:style>
  <w:style w:type="paragraph" w:styleId="Lijstalinea">
    <w:name w:val="List Paragraph"/>
    <w:basedOn w:val="Standaard"/>
    <w:uiPriority w:val="34"/>
    <w:qFormat/>
    <w:rsid w:val="00D1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Heijmans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Vanthoor, Tim</cp:lastModifiedBy>
  <cp:revision>5</cp:revision>
  <cp:lastPrinted>2020-06-09T04:52:00Z</cp:lastPrinted>
  <dcterms:created xsi:type="dcterms:W3CDTF">2020-06-08T14:32:00Z</dcterms:created>
  <dcterms:modified xsi:type="dcterms:W3CDTF">2020-06-09T13:50:00Z</dcterms:modified>
</cp:coreProperties>
</file>